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D27ECE" w:rsidRDefault="00A95674" w:rsidP="00A95674">
      <w:pPr>
        <w:jc w:val="center"/>
        <w:rPr>
          <w:rFonts w:cstheme="minorHAnsi"/>
        </w:rPr>
      </w:pPr>
      <w:r w:rsidRPr="00D27ECE">
        <w:rPr>
          <w:rFonts w:cstheme="minorHAnsi"/>
        </w:rPr>
        <w:t>Statement of Consideration (SOC)</w:t>
      </w:r>
    </w:p>
    <w:p w14:paraId="42952889" w14:textId="3EBBC757" w:rsidR="00D92502" w:rsidRPr="00D27ECE" w:rsidRDefault="009B4314" w:rsidP="00DB7BFF">
      <w:pPr>
        <w:rPr>
          <w:rFonts w:cstheme="minorHAnsi"/>
        </w:rPr>
      </w:pPr>
      <w:r>
        <w:rPr>
          <w:rFonts w:cstheme="minorHAnsi"/>
        </w:rPr>
        <w:t xml:space="preserve">PPTL 21-15 </w:t>
      </w:r>
      <w:r w:rsidR="00FE3CA8" w:rsidRPr="00D27ECE">
        <w:rPr>
          <w:rFonts w:cstheme="minorHAnsi"/>
        </w:rPr>
        <w:t>SOP</w:t>
      </w:r>
      <w:r w:rsidR="003A615A" w:rsidRPr="00D27ECE">
        <w:rPr>
          <w:rFonts w:cstheme="minorHAnsi"/>
        </w:rPr>
        <w:t xml:space="preserve"> </w:t>
      </w:r>
      <w:r w:rsidR="00780DD9" w:rsidRPr="00D27ECE">
        <w:rPr>
          <w:rFonts w:cstheme="minorHAnsi"/>
        </w:rPr>
        <w:t>4</w:t>
      </w:r>
      <w:r w:rsidR="00D92502" w:rsidRPr="00D27ECE">
        <w:rPr>
          <w:rFonts w:cstheme="minorHAnsi"/>
        </w:rPr>
        <w:t xml:space="preserve">.10, SOP 4.11, SOP 4.11.1, SOP 4.11.2, SOP 4.11.4, and SOP 4.47.  </w:t>
      </w:r>
      <w:r w:rsidR="00A95674" w:rsidRPr="00D27ECE">
        <w:rPr>
          <w:rFonts w:cstheme="minorHAnsi"/>
        </w:rPr>
        <w:t>The following comments were received in response to SOP drafts sent for field review.  Thanks to those who reviewed and commented.  Comments about typographical and grammatical errors are excluded; these errors have been corrected as appropriate</w:t>
      </w:r>
    </w:p>
    <w:p w14:paraId="27A1091B" w14:textId="3544F1C4" w:rsidR="00D92502" w:rsidRPr="00D27ECE" w:rsidRDefault="00D92502" w:rsidP="00DB7BFF">
      <w:pPr>
        <w:rPr>
          <w:rFonts w:cstheme="minorHAnsi"/>
          <w:b/>
          <w:u w:val="single"/>
        </w:rPr>
      </w:pPr>
      <w:r w:rsidRPr="00D27ECE">
        <w:rPr>
          <w:rFonts w:cstheme="minorHAnsi"/>
          <w:b/>
          <w:u w:val="single"/>
        </w:rPr>
        <w:t xml:space="preserve">General </w:t>
      </w:r>
    </w:p>
    <w:p w14:paraId="30FBC7D7" w14:textId="220206D3" w:rsidR="00D92502" w:rsidRPr="00D27ECE" w:rsidRDefault="00D92502" w:rsidP="00D92502">
      <w:pPr>
        <w:pStyle w:val="ListParagraph"/>
        <w:numPr>
          <w:ilvl w:val="0"/>
          <w:numId w:val="43"/>
        </w:numPr>
        <w:rPr>
          <w:rFonts w:cstheme="minorHAnsi"/>
        </w:rPr>
      </w:pPr>
      <w:r w:rsidRPr="00D27ECE">
        <w:rPr>
          <w:rFonts w:cstheme="minorHAnsi"/>
          <w:b/>
        </w:rPr>
        <w:t>Comment:</w:t>
      </w:r>
      <w:r w:rsidRPr="00D27ECE">
        <w:rPr>
          <w:rFonts w:cstheme="minorHAnsi"/>
        </w:rPr>
        <w:t xml:space="preserve">  </w:t>
      </w:r>
      <w:r w:rsidR="00BA5B67" w:rsidRPr="00D27ECE">
        <w:rPr>
          <w:rFonts w:cstheme="minorHAnsi"/>
        </w:rPr>
        <w:t xml:space="preserve">For </w:t>
      </w:r>
      <w:r w:rsidRPr="00D27ECE">
        <w:rPr>
          <w:rFonts w:cstheme="minorHAnsi"/>
        </w:rPr>
        <w:t>children under the age of four</w:t>
      </w:r>
      <w:r w:rsidR="00BA5B67" w:rsidRPr="00D27ECE">
        <w:rPr>
          <w:rFonts w:cstheme="minorHAnsi"/>
        </w:rPr>
        <w:t xml:space="preserve"> with expired levels is a new letter </w:t>
      </w:r>
      <w:r w:rsidRPr="00D27ECE">
        <w:rPr>
          <w:rFonts w:cstheme="minorHAnsi"/>
        </w:rPr>
        <w:t>required. </w:t>
      </w:r>
    </w:p>
    <w:p w14:paraId="6BC1C889" w14:textId="0D2F417E" w:rsidR="00D92502" w:rsidRPr="00D27ECE" w:rsidRDefault="00FA3F04" w:rsidP="00D92502">
      <w:pPr>
        <w:ind w:left="720"/>
        <w:rPr>
          <w:rFonts w:cstheme="minorHAnsi"/>
          <w:b/>
        </w:rPr>
      </w:pPr>
      <w:r w:rsidRPr="00D27ECE">
        <w:rPr>
          <w:rFonts w:cstheme="minorHAnsi"/>
          <w:b/>
        </w:rPr>
        <w:t xml:space="preserve">Response: </w:t>
      </w:r>
      <w:r w:rsidR="00794125" w:rsidRPr="00D27ECE">
        <w:rPr>
          <w:rFonts w:cstheme="minorHAnsi"/>
          <w:b/>
        </w:rPr>
        <w:t xml:space="preserve"> </w:t>
      </w:r>
      <w:r w:rsidRPr="00D27ECE">
        <w:rPr>
          <w:rFonts w:cstheme="minorHAnsi"/>
          <w:b/>
        </w:rPr>
        <w:t xml:space="preserve"> </w:t>
      </w:r>
      <w:r w:rsidRPr="00D27ECE">
        <w:rPr>
          <w:rFonts w:cstheme="minorHAnsi"/>
        </w:rPr>
        <w:t>A new letter with the most current information is needed.</w:t>
      </w:r>
      <w:r w:rsidRPr="00D27ECE">
        <w:rPr>
          <w:rFonts w:cstheme="minorHAnsi"/>
          <w:b/>
        </w:rPr>
        <w:t xml:space="preserve"> </w:t>
      </w:r>
    </w:p>
    <w:p w14:paraId="5A5FCBFD" w14:textId="0ADF9BFD" w:rsidR="00794125" w:rsidRPr="00D27ECE" w:rsidRDefault="00794125" w:rsidP="00794125">
      <w:pPr>
        <w:pStyle w:val="NormalWeb"/>
        <w:shd w:val="clear" w:color="auto" w:fill="FFFFFF"/>
        <w:rPr>
          <w:rFonts w:asciiTheme="minorHAnsi" w:hAnsiTheme="minorHAnsi" w:cstheme="minorHAnsi"/>
          <w:sz w:val="22"/>
          <w:szCs w:val="22"/>
        </w:rPr>
      </w:pPr>
      <w:r w:rsidRPr="00D27ECE">
        <w:rPr>
          <w:rFonts w:asciiTheme="minorHAnsi" w:hAnsiTheme="minorHAnsi" w:cstheme="minorHAnsi"/>
          <w:sz w:val="22"/>
          <w:szCs w:val="22"/>
        </w:rPr>
        <w:t>Language has been added to</w:t>
      </w:r>
      <w:r w:rsidR="00264FF1" w:rsidRPr="00D27ECE">
        <w:rPr>
          <w:rFonts w:asciiTheme="minorHAnsi" w:hAnsiTheme="minorHAnsi" w:cstheme="minorHAnsi"/>
          <w:sz w:val="22"/>
          <w:szCs w:val="22"/>
        </w:rPr>
        <w:t xml:space="preserve"> SOP 4.11.1 </w:t>
      </w:r>
      <w:r w:rsidR="00D27ECE" w:rsidRPr="00D27ECE">
        <w:rPr>
          <w:rFonts w:asciiTheme="minorHAnsi" w:hAnsiTheme="minorHAnsi" w:cstheme="minorHAnsi"/>
          <w:sz w:val="22"/>
          <w:szCs w:val="22"/>
        </w:rPr>
        <w:t>to include</w:t>
      </w:r>
      <w:r w:rsidRPr="00D27ECE">
        <w:rPr>
          <w:rFonts w:asciiTheme="minorHAnsi" w:hAnsiTheme="minorHAnsi" w:cstheme="minorHAnsi"/>
          <w:sz w:val="22"/>
          <w:szCs w:val="22"/>
        </w:rPr>
        <w:t xml:space="preserve">: </w:t>
      </w:r>
    </w:p>
    <w:p w14:paraId="40AD9511" w14:textId="061E7AF5" w:rsidR="00794125" w:rsidRPr="00D27ECE" w:rsidRDefault="00794125" w:rsidP="00794125">
      <w:pPr>
        <w:pStyle w:val="NormalWeb"/>
        <w:shd w:val="clear" w:color="auto" w:fill="FFFFFF"/>
        <w:rPr>
          <w:rFonts w:asciiTheme="minorHAnsi" w:eastAsia="Times New Roman" w:hAnsiTheme="minorHAnsi" w:cstheme="minorHAnsi"/>
          <w:color w:val="212121"/>
          <w:sz w:val="22"/>
          <w:szCs w:val="22"/>
        </w:rPr>
      </w:pPr>
      <w:r w:rsidRPr="00D27ECE">
        <w:rPr>
          <w:rFonts w:asciiTheme="minorHAnsi" w:eastAsia="Times New Roman" w:hAnsiTheme="minorHAnsi" w:cstheme="minorHAnsi"/>
          <w:bCs/>
          <w:color w:val="212121"/>
          <w:sz w:val="22"/>
          <w:szCs w:val="22"/>
        </w:rPr>
        <w:t>The SSW:</w:t>
      </w:r>
      <w:r w:rsidRPr="00D27ECE">
        <w:rPr>
          <w:rFonts w:asciiTheme="minorHAnsi" w:eastAsia="Times New Roman" w:hAnsiTheme="minorHAnsi" w:cstheme="minorHAnsi"/>
          <w:b/>
          <w:bCs/>
          <w:color w:val="212121"/>
          <w:sz w:val="22"/>
          <w:szCs w:val="22"/>
        </w:rPr>
        <w:t> </w:t>
      </w:r>
    </w:p>
    <w:p w14:paraId="5E3C939A" w14:textId="77777777" w:rsidR="00794125" w:rsidRPr="00D27ECE" w:rsidRDefault="00794125" w:rsidP="00794125">
      <w:pPr>
        <w:numPr>
          <w:ilvl w:val="0"/>
          <w:numId w:val="44"/>
        </w:numPr>
        <w:shd w:val="clear" w:color="auto" w:fill="FFFFFF"/>
        <w:spacing w:after="45" w:line="240" w:lineRule="auto"/>
        <w:ind w:left="555"/>
        <w:rPr>
          <w:rFonts w:eastAsia="Times New Roman" w:cstheme="minorHAnsi"/>
          <w:color w:val="212121"/>
        </w:rPr>
      </w:pPr>
      <w:r w:rsidRPr="00D27ECE">
        <w:rPr>
          <w:rFonts w:eastAsia="Times New Roman" w:cstheme="minorHAnsi"/>
          <w:color w:val="212121"/>
        </w:rPr>
        <w:t>Completes the LOC packet for a child who is:</w:t>
      </w:r>
    </w:p>
    <w:p w14:paraId="54F76066" w14:textId="77777777" w:rsidR="00794125" w:rsidRPr="00D27ECE" w:rsidRDefault="00794125" w:rsidP="00794125">
      <w:pPr>
        <w:numPr>
          <w:ilvl w:val="1"/>
          <w:numId w:val="44"/>
        </w:numPr>
        <w:shd w:val="clear" w:color="auto" w:fill="FFFFFF"/>
        <w:spacing w:after="45" w:line="240" w:lineRule="auto"/>
        <w:ind w:left="930"/>
        <w:rPr>
          <w:rFonts w:eastAsia="Times New Roman" w:cstheme="minorHAnsi"/>
          <w:color w:val="212121"/>
        </w:rPr>
      </w:pPr>
      <w:r w:rsidRPr="00D27ECE">
        <w:rPr>
          <w:rFonts w:eastAsia="Times New Roman" w:cstheme="minorHAnsi"/>
          <w:color w:val="212121"/>
        </w:rPr>
        <w:t>Four (4) years of age or above;</w:t>
      </w:r>
      <w:bookmarkStart w:id="0" w:name="_GoBack"/>
      <w:bookmarkEnd w:id="0"/>
    </w:p>
    <w:p w14:paraId="313A00A6" w14:textId="77777777" w:rsidR="00794125" w:rsidRPr="00D27ECE" w:rsidRDefault="00794125" w:rsidP="00794125">
      <w:pPr>
        <w:numPr>
          <w:ilvl w:val="1"/>
          <w:numId w:val="44"/>
        </w:numPr>
        <w:shd w:val="clear" w:color="auto" w:fill="FFFFFF"/>
        <w:spacing w:after="0" w:line="240" w:lineRule="auto"/>
        <w:ind w:left="930"/>
        <w:rPr>
          <w:rFonts w:eastAsia="Times New Roman" w:cstheme="minorHAnsi"/>
          <w:color w:val="212121"/>
        </w:rPr>
      </w:pPr>
      <w:r w:rsidRPr="00D27ECE">
        <w:rPr>
          <w:rFonts w:eastAsia="Times New Roman" w:cstheme="minorHAnsi"/>
          <w:b/>
          <w:bCs/>
          <w:color w:val="FF0000"/>
        </w:rPr>
        <w:t>Under age four (4) with an expired LOC</w:t>
      </w:r>
      <w:r w:rsidRPr="00D27ECE">
        <w:rPr>
          <w:rFonts w:eastAsia="Times New Roman" w:cstheme="minorHAnsi"/>
          <w:b/>
          <w:bCs/>
          <w:color w:val="212121"/>
        </w:rPr>
        <w:t>;</w:t>
      </w:r>
      <w:r w:rsidRPr="00D27ECE">
        <w:rPr>
          <w:rFonts w:eastAsia="Times New Roman" w:cstheme="minorHAnsi"/>
          <w:color w:val="212121"/>
        </w:rPr>
        <w:t> or</w:t>
      </w:r>
    </w:p>
    <w:p w14:paraId="1937A0BF" w14:textId="77777777" w:rsidR="00794125" w:rsidRPr="00D27ECE" w:rsidRDefault="00794125" w:rsidP="00794125">
      <w:pPr>
        <w:numPr>
          <w:ilvl w:val="1"/>
          <w:numId w:val="44"/>
        </w:numPr>
        <w:shd w:val="clear" w:color="auto" w:fill="FFFFFF"/>
        <w:spacing w:after="45" w:line="240" w:lineRule="auto"/>
        <w:ind w:left="930"/>
        <w:rPr>
          <w:rFonts w:eastAsia="Times New Roman" w:cstheme="minorHAnsi"/>
          <w:color w:val="212121"/>
        </w:rPr>
      </w:pPr>
      <w:r w:rsidRPr="00D27ECE">
        <w:rPr>
          <w:rFonts w:eastAsia="Times New Roman" w:cstheme="minorHAnsi"/>
          <w:color w:val="212121"/>
        </w:rPr>
        <w:t>Any child who is designated medically complex regardless of age.</w:t>
      </w:r>
    </w:p>
    <w:p w14:paraId="2DFD345B" w14:textId="1B9C481D" w:rsidR="00794125" w:rsidRPr="00D27ECE" w:rsidRDefault="00794125" w:rsidP="00D92502">
      <w:pPr>
        <w:ind w:left="720"/>
        <w:rPr>
          <w:rFonts w:cstheme="minorHAnsi"/>
          <w:b/>
        </w:rPr>
      </w:pPr>
    </w:p>
    <w:p w14:paraId="2777410C" w14:textId="0A10FCBE" w:rsidR="00D92502" w:rsidRPr="00D27ECE" w:rsidRDefault="00D92502" w:rsidP="00DB7BFF">
      <w:pPr>
        <w:rPr>
          <w:rFonts w:cstheme="minorHAnsi"/>
          <w:b/>
          <w:u w:val="single"/>
        </w:rPr>
      </w:pPr>
      <w:r w:rsidRPr="00D27ECE">
        <w:rPr>
          <w:rFonts w:cstheme="minorHAnsi"/>
          <w:b/>
          <w:u w:val="single"/>
        </w:rPr>
        <w:t>SOP 4.10 Placement in a DCBS Foster or Adoptive Home</w:t>
      </w:r>
    </w:p>
    <w:p w14:paraId="69E42907" w14:textId="4EAFB96B" w:rsidR="004A49AB" w:rsidRPr="00D27ECE" w:rsidRDefault="00D92502" w:rsidP="00D27ECE">
      <w:pPr>
        <w:ind w:firstLine="720"/>
        <w:rPr>
          <w:rFonts w:cstheme="minorHAnsi"/>
        </w:rPr>
      </w:pPr>
      <w:r w:rsidRPr="00D27ECE">
        <w:rPr>
          <w:rFonts w:cstheme="minorHAnsi"/>
        </w:rPr>
        <w:t>NO comments</w:t>
      </w:r>
    </w:p>
    <w:p w14:paraId="7106F244" w14:textId="1FA7D79D" w:rsidR="004A49AB" w:rsidRPr="00D27ECE" w:rsidRDefault="00D92502">
      <w:pPr>
        <w:rPr>
          <w:rFonts w:cstheme="minorHAnsi"/>
          <w:b/>
          <w:u w:val="single"/>
        </w:rPr>
      </w:pPr>
      <w:r w:rsidRPr="00D27ECE">
        <w:rPr>
          <w:rFonts w:cstheme="minorHAnsi"/>
          <w:b/>
          <w:bCs/>
          <w:u w:val="single"/>
        </w:rPr>
        <w:t>SOP 4.11</w:t>
      </w:r>
      <w:r w:rsidR="0030491A" w:rsidRPr="00D27ECE">
        <w:rPr>
          <w:rFonts w:cstheme="minorHAnsi"/>
          <w:b/>
          <w:bCs/>
          <w:u w:val="single"/>
        </w:rPr>
        <w:t xml:space="preserve"> Private Child Placing (PCP) or Child Caring (PCC) Agency</w:t>
      </w:r>
      <w:r w:rsidR="0030491A" w:rsidRPr="00D27ECE">
        <w:rPr>
          <w:rFonts w:cstheme="minorHAnsi"/>
          <w:b/>
          <w:u w:val="single"/>
        </w:rPr>
        <w:t xml:space="preserve"> </w:t>
      </w:r>
    </w:p>
    <w:p w14:paraId="77A8865A" w14:textId="2EFFCA5B" w:rsidR="006C19BA" w:rsidRPr="00D27ECE" w:rsidRDefault="00A56E8E" w:rsidP="0030491A">
      <w:pPr>
        <w:pStyle w:val="ListParagraph"/>
        <w:numPr>
          <w:ilvl w:val="0"/>
          <w:numId w:val="29"/>
        </w:numPr>
        <w:rPr>
          <w:rFonts w:cstheme="minorHAnsi"/>
        </w:rPr>
      </w:pPr>
      <w:r w:rsidRPr="00D27ECE">
        <w:rPr>
          <w:rFonts w:cstheme="minorHAnsi"/>
          <w:b/>
        </w:rPr>
        <w:t>Comment</w:t>
      </w:r>
      <w:r w:rsidR="00E07F79" w:rsidRPr="00D27ECE">
        <w:rPr>
          <w:rFonts w:cstheme="minorHAnsi"/>
          <w:b/>
        </w:rPr>
        <w:t>:</w:t>
      </w:r>
      <w:r w:rsidR="00E07F79" w:rsidRPr="00D27ECE">
        <w:rPr>
          <w:rFonts w:cstheme="minorHAnsi"/>
        </w:rPr>
        <w:t xml:space="preserve"> </w:t>
      </w:r>
      <w:r w:rsidR="0030491A" w:rsidRPr="00D27ECE">
        <w:rPr>
          <w:rFonts w:cstheme="minorHAnsi"/>
        </w:rPr>
        <w:t xml:space="preserve">It may be helpful to reference the QRTP assessment process as an additional item under “Procedure”, in situations when the SSW refers the child to a residential program. </w:t>
      </w:r>
    </w:p>
    <w:p w14:paraId="2602DC80" w14:textId="641172CC" w:rsidR="0030491A" w:rsidRPr="00D27ECE" w:rsidRDefault="0030491A" w:rsidP="0030491A">
      <w:pPr>
        <w:ind w:left="720"/>
        <w:rPr>
          <w:rFonts w:cstheme="minorHAnsi"/>
        </w:rPr>
      </w:pPr>
      <w:r w:rsidRPr="00D27ECE">
        <w:rPr>
          <w:rFonts w:cstheme="minorHAnsi"/>
          <w:b/>
        </w:rPr>
        <w:t xml:space="preserve">Response: </w:t>
      </w:r>
      <w:r w:rsidR="00D27ECE" w:rsidRPr="00D27ECE">
        <w:rPr>
          <w:rFonts w:cstheme="minorHAnsi"/>
        </w:rPr>
        <w:t>The following l</w:t>
      </w:r>
      <w:r w:rsidR="00D27ECE">
        <w:rPr>
          <w:rFonts w:cstheme="minorHAnsi"/>
        </w:rPr>
        <w:t xml:space="preserve">anguage has been </w:t>
      </w:r>
      <w:r w:rsidR="00264FF1" w:rsidRPr="00D27ECE">
        <w:rPr>
          <w:rFonts w:cstheme="minorHAnsi"/>
        </w:rPr>
        <w:t>added:</w:t>
      </w:r>
      <w:r w:rsidR="00264FF1" w:rsidRPr="00D27ECE">
        <w:rPr>
          <w:rFonts w:cstheme="minorHAnsi"/>
          <w:b/>
        </w:rPr>
        <w:t xml:space="preserve">  </w:t>
      </w:r>
      <w:r w:rsidR="00FD2CE0" w:rsidRPr="00D27ECE">
        <w:rPr>
          <w:rFonts w:cstheme="minorHAnsi"/>
        </w:rPr>
        <w:t xml:space="preserve">When a child is referred to a residential program, please reference </w:t>
      </w:r>
      <w:r w:rsidR="00FD2CE0" w:rsidRPr="00D27ECE">
        <w:rPr>
          <w:rFonts w:cstheme="minorHAnsi"/>
          <w:u w:val="single"/>
        </w:rPr>
        <w:t>SOP 4.51.1 Placement in a Congregate Care (Residential Treatment) Setting</w:t>
      </w:r>
      <w:r w:rsidR="00FD2CE0" w:rsidRPr="00D27ECE">
        <w:rPr>
          <w:rFonts w:cstheme="minorHAnsi"/>
        </w:rPr>
        <w:t xml:space="preserve">. </w:t>
      </w:r>
    </w:p>
    <w:p w14:paraId="1EBA281F" w14:textId="287C87FB" w:rsidR="0030491A" w:rsidRPr="00D27ECE" w:rsidRDefault="0030491A" w:rsidP="00FD2CE0">
      <w:pPr>
        <w:pStyle w:val="ListParagraph"/>
        <w:numPr>
          <w:ilvl w:val="0"/>
          <w:numId w:val="43"/>
        </w:numPr>
        <w:rPr>
          <w:rFonts w:cstheme="minorHAnsi"/>
        </w:rPr>
      </w:pPr>
      <w:r w:rsidRPr="00D27ECE">
        <w:rPr>
          <w:rFonts w:cstheme="minorHAnsi"/>
          <w:b/>
        </w:rPr>
        <w:t>Comment:</w:t>
      </w:r>
      <w:r w:rsidRPr="00D27ECE">
        <w:rPr>
          <w:rFonts w:cstheme="minorHAnsi"/>
        </w:rPr>
        <w:t xml:space="preserve">  Consider adding guidance about emergency referrals for #3 under the SSW Procedure—i.e., that the SSW should contact the RPC via email to make them aware that an 886A has been uploaded in the workbasket as an emergency (to prevent emergency referrals falling through the cracks). </w:t>
      </w:r>
    </w:p>
    <w:p w14:paraId="3BE7FE59" w14:textId="4A4F00D0" w:rsidR="00D92502" w:rsidRPr="00D27ECE" w:rsidRDefault="0030491A" w:rsidP="00D27ECE">
      <w:pPr>
        <w:ind w:left="720"/>
        <w:rPr>
          <w:rFonts w:cstheme="minorHAnsi"/>
          <w:b/>
        </w:rPr>
      </w:pPr>
      <w:r w:rsidRPr="00D27ECE">
        <w:rPr>
          <w:rFonts w:cstheme="minorHAnsi"/>
          <w:b/>
        </w:rPr>
        <w:t xml:space="preserve">Response:  </w:t>
      </w:r>
      <w:r w:rsidR="00D27ECE" w:rsidRPr="00D27ECE">
        <w:rPr>
          <w:rFonts w:cstheme="minorHAnsi"/>
        </w:rPr>
        <w:t>The following l</w:t>
      </w:r>
      <w:r w:rsidR="00264FF1" w:rsidRPr="00D27ECE">
        <w:rPr>
          <w:rFonts w:cstheme="minorHAnsi"/>
        </w:rPr>
        <w:t xml:space="preserve">anguage has been added: Footnote # 4. </w:t>
      </w:r>
      <w:r w:rsidR="00264FF1" w:rsidRPr="00D27ECE">
        <w:rPr>
          <w:rFonts w:cstheme="minorHAnsi"/>
          <w:color w:val="212121"/>
          <w:shd w:val="clear" w:color="auto" w:fill="FFFFFF"/>
        </w:rPr>
        <w:t xml:space="preserve">In the event of an emergency referral, the SSW should contact CRP via email or phone to </w:t>
      </w:r>
      <w:proofErr w:type="gramStart"/>
      <w:r w:rsidR="00264FF1" w:rsidRPr="00D27ECE">
        <w:rPr>
          <w:rFonts w:cstheme="minorHAnsi"/>
          <w:color w:val="212121"/>
          <w:shd w:val="clear" w:color="auto" w:fill="FFFFFF"/>
        </w:rPr>
        <w:t>advise</w:t>
      </w:r>
      <w:proofErr w:type="gramEnd"/>
      <w:r w:rsidR="00264FF1" w:rsidRPr="00D27ECE">
        <w:rPr>
          <w:rFonts w:cstheme="minorHAnsi"/>
          <w:color w:val="212121"/>
          <w:shd w:val="clear" w:color="auto" w:fill="FFFFFF"/>
        </w:rPr>
        <w:t xml:space="preserve"> of an imminent placement need. Efforts to complete the </w:t>
      </w:r>
      <w:r w:rsidR="00264FF1" w:rsidRPr="00D27ECE">
        <w:rPr>
          <w:rFonts w:cstheme="minorHAnsi"/>
          <w:color w:val="212121"/>
          <w:u w:val="single"/>
          <w:shd w:val="clear" w:color="auto" w:fill="FFFFFF"/>
        </w:rPr>
        <w:t>DPP-886A</w:t>
      </w:r>
      <w:r w:rsidR="00264FF1" w:rsidRPr="00D27ECE">
        <w:rPr>
          <w:rFonts w:cstheme="minorHAnsi"/>
          <w:color w:val="212121"/>
          <w:shd w:val="clear" w:color="auto" w:fill="FFFFFF"/>
        </w:rPr>
        <w:t> should be made to ensure the most appropriate placement. </w:t>
      </w:r>
    </w:p>
    <w:p w14:paraId="09BED1C6" w14:textId="16E78768" w:rsidR="0030491A" w:rsidRPr="00D27ECE" w:rsidRDefault="0030491A" w:rsidP="0030491A">
      <w:pPr>
        <w:pStyle w:val="ListParagraph"/>
        <w:numPr>
          <w:ilvl w:val="0"/>
          <w:numId w:val="29"/>
        </w:numPr>
        <w:rPr>
          <w:rFonts w:cstheme="minorHAnsi"/>
        </w:rPr>
      </w:pPr>
      <w:r w:rsidRPr="00D27ECE">
        <w:rPr>
          <w:rFonts w:cstheme="minorHAnsi"/>
          <w:b/>
        </w:rPr>
        <w:t>Comment:</w:t>
      </w:r>
      <w:r w:rsidRPr="00D27ECE">
        <w:rPr>
          <w:rFonts w:cstheme="minorHAnsi"/>
        </w:rPr>
        <w:t xml:space="preserve"> “The LOC packet” is referred to in #3A of the SSW Procedure and #1 of the Regional Placement Coordinator Procedure</w:t>
      </w:r>
      <w:r w:rsidR="00BA5B67" w:rsidRPr="00D27ECE">
        <w:rPr>
          <w:rFonts w:cstheme="minorHAnsi"/>
        </w:rPr>
        <w:t xml:space="preserve">.  </w:t>
      </w:r>
      <w:r w:rsidRPr="00D27ECE">
        <w:rPr>
          <w:rFonts w:cstheme="minorHAnsi"/>
        </w:rPr>
        <w:t>We wondered if “LOC packet” might be confusing here because the packet the SSW sends for a Level of Care includes an 886A and a Screener, but the packet the SSW sends for placement referral does not include the Screener</w:t>
      </w:r>
      <w:r w:rsidR="00BA5B67" w:rsidRPr="00D27ECE">
        <w:rPr>
          <w:rFonts w:cstheme="minorHAnsi"/>
        </w:rPr>
        <w:t xml:space="preserve">.  </w:t>
      </w:r>
      <w:r w:rsidRPr="00D27ECE">
        <w:rPr>
          <w:rFonts w:cstheme="minorHAnsi"/>
        </w:rPr>
        <w:t>Also, the packet the RPC sends to PCCs/PCPs includes the 886A, a placement history, and a narrative—but does not include the Screener</w:t>
      </w:r>
      <w:r w:rsidR="00BA5B67" w:rsidRPr="00D27ECE">
        <w:rPr>
          <w:rFonts w:cstheme="minorHAnsi"/>
        </w:rPr>
        <w:t xml:space="preserve">.  </w:t>
      </w:r>
      <w:r w:rsidRPr="00D27ECE">
        <w:rPr>
          <w:rFonts w:cstheme="minorHAnsi"/>
        </w:rPr>
        <w:t>It might be clearer if this packet were referred to as “the referral packet.”</w:t>
      </w:r>
    </w:p>
    <w:p w14:paraId="2F82104C" w14:textId="421AA77C" w:rsidR="00780DD9" w:rsidRPr="00D27ECE" w:rsidRDefault="0030491A" w:rsidP="00D27ECE">
      <w:pPr>
        <w:ind w:left="720"/>
        <w:rPr>
          <w:rFonts w:cstheme="minorHAnsi"/>
          <w:b/>
        </w:rPr>
      </w:pPr>
      <w:r w:rsidRPr="00D27ECE">
        <w:rPr>
          <w:rFonts w:cstheme="minorHAnsi"/>
          <w:b/>
        </w:rPr>
        <w:t xml:space="preserve">Response:  </w:t>
      </w:r>
      <w:r w:rsidR="00FA3F04" w:rsidRPr="00D27ECE">
        <w:rPr>
          <w:rFonts w:cstheme="minorHAnsi"/>
        </w:rPr>
        <w:t xml:space="preserve">Change </w:t>
      </w:r>
      <w:r w:rsidR="00264FF1" w:rsidRPr="00D27ECE">
        <w:rPr>
          <w:rFonts w:cstheme="minorHAnsi"/>
        </w:rPr>
        <w:t>has been made to reflect referral packet</w:t>
      </w:r>
      <w:r w:rsidR="00FA3F04" w:rsidRPr="00D27ECE">
        <w:rPr>
          <w:rFonts w:cstheme="minorHAnsi"/>
        </w:rPr>
        <w:t>.</w:t>
      </w:r>
    </w:p>
    <w:p w14:paraId="4818EEFE" w14:textId="7F955086" w:rsidR="00780DD9" w:rsidRPr="00D27ECE" w:rsidRDefault="00780DD9" w:rsidP="00780DD9">
      <w:pPr>
        <w:rPr>
          <w:rFonts w:cstheme="minorHAnsi"/>
          <w:b/>
        </w:rPr>
      </w:pPr>
    </w:p>
    <w:p w14:paraId="12F27909" w14:textId="055CD4C8" w:rsidR="00E32D46" w:rsidRPr="00D27ECE" w:rsidRDefault="00D92502" w:rsidP="00E32D46">
      <w:pPr>
        <w:rPr>
          <w:rFonts w:cstheme="minorHAnsi"/>
          <w:b/>
          <w:u w:val="single"/>
        </w:rPr>
      </w:pPr>
      <w:r w:rsidRPr="00D27ECE">
        <w:rPr>
          <w:rFonts w:eastAsia="Calibri" w:cstheme="minorHAnsi"/>
          <w:b/>
          <w:bCs/>
          <w:u w:val="single"/>
        </w:rPr>
        <w:t>SOP 4.11.1</w:t>
      </w:r>
      <w:r w:rsidR="0030491A" w:rsidRPr="00D27ECE">
        <w:rPr>
          <w:rFonts w:eastAsia="Calibri" w:cstheme="minorHAnsi"/>
          <w:b/>
          <w:bCs/>
          <w:u w:val="single"/>
        </w:rPr>
        <w:t xml:space="preserve"> Level of Care Assignment</w:t>
      </w:r>
    </w:p>
    <w:p w14:paraId="2CA6B75E" w14:textId="23E8CE1B" w:rsidR="0030491A" w:rsidRPr="00D27ECE" w:rsidRDefault="00E32D46" w:rsidP="0030491A">
      <w:pPr>
        <w:pStyle w:val="ListParagraph"/>
        <w:numPr>
          <w:ilvl w:val="0"/>
          <w:numId w:val="30"/>
        </w:numPr>
        <w:rPr>
          <w:rFonts w:cstheme="minorHAnsi"/>
        </w:rPr>
      </w:pPr>
      <w:r w:rsidRPr="00D27ECE">
        <w:rPr>
          <w:rFonts w:cstheme="minorHAnsi"/>
          <w:b/>
        </w:rPr>
        <w:t xml:space="preserve">Comment:  </w:t>
      </w:r>
      <w:r w:rsidR="0030491A" w:rsidRPr="00D27ECE">
        <w:rPr>
          <w:rFonts w:cstheme="minorHAnsi"/>
        </w:rPr>
        <w:t>#2 and #3 under SSW Procedure seem to be contradictory because submitting materials for a level of care assignment is required within 5 days of a child’s entry into OOHC, but the Screener is required to be completed within 10 days</w:t>
      </w:r>
      <w:r w:rsidR="00BA5B67" w:rsidRPr="00D27ECE">
        <w:rPr>
          <w:rFonts w:cstheme="minorHAnsi"/>
        </w:rPr>
        <w:t xml:space="preserve">.  </w:t>
      </w:r>
      <w:r w:rsidR="0030491A" w:rsidRPr="00D27ECE">
        <w:rPr>
          <w:rFonts w:cstheme="minorHAnsi"/>
        </w:rPr>
        <w:t xml:space="preserve">It seems that the Screener should also be required within 5 days, since the Screener has to be submitted with the 886A in order to obtain a level of care assignment.  </w:t>
      </w:r>
    </w:p>
    <w:p w14:paraId="67EAABBD" w14:textId="2E326E57" w:rsidR="00D92502" w:rsidRPr="00D27ECE" w:rsidRDefault="0030491A" w:rsidP="00D27ECE">
      <w:pPr>
        <w:ind w:left="720"/>
        <w:rPr>
          <w:rFonts w:cstheme="minorHAnsi"/>
        </w:rPr>
      </w:pPr>
      <w:r w:rsidRPr="00D27ECE">
        <w:rPr>
          <w:rFonts w:cstheme="minorHAnsi"/>
          <w:b/>
        </w:rPr>
        <w:lastRenderedPageBreak/>
        <w:t xml:space="preserve">Response:  </w:t>
      </w:r>
      <w:r w:rsidR="00FA3F04" w:rsidRPr="00D27ECE">
        <w:rPr>
          <w:rFonts w:cstheme="minorHAnsi"/>
        </w:rPr>
        <w:t xml:space="preserve">No change will be made.  The screener is aligned with the 10 day case conference.  </w:t>
      </w:r>
    </w:p>
    <w:p w14:paraId="2FB7969B" w14:textId="2747682E" w:rsidR="0030491A" w:rsidRPr="00D27ECE" w:rsidRDefault="0030491A" w:rsidP="0030491A">
      <w:pPr>
        <w:pStyle w:val="ListParagraph"/>
        <w:numPr>
          <w:ilvl w:val="0"/>
          <w:numId w:val="30"/>
        </w:numPr>
        <w:rPr>
          <w:rFonts w:cstheme="minorHAnsi"/>
        </w:rPr>
      </w:pPr>
      <w:r w:rsidRPr="00D27ECE">
        <w:rPr>
          <w:rFonts w:cstheme="minorHAnsi"/>
          <w:b/>
        </w:rPr>
        <w:t>Comment:</w:t>
      </w:r>
      <w:r w:rsidRPr="00D27ECE">
        <w:rPr>
          <w:rFonts w:cstheme="minorHAnsi"/>
        </w:rPr>
        <w:t xml:space="preserve"> The second bullet under “Practice Guidelines” notes that CRP “returns the completed DPP-886A Application for Referral and Needs Assessment form to the billing specialist”</w:t>
      </w:r>
      <w:r w:rsidR="00BA5B67" w:rsidRPr="00D27ECE">
        <w:rPr>
          <w:rFonts w:cstheme="minorHAnsi"/>
        </w:rPr>
        <w:t xml:space="preserve">.  </w:t>
      </w:r>
      <w:r w:rsidRPr="00D27ECE">
        <w:rPr>
          <w:rFonts w:cstheme="minorHAnsi"/>
        </w:rPr>
        <w:t>However, the form we send to the billing specialist is the DPP-886.</w:t>
      </w:r>
    </w:p>
    <w:p w14:paraId="172EEA76" w14:textId="71FDCF62" w:rsidR="00D92502" w:rsidRPr="00D27ECE" w:rsidRDefault="0030491A" w:rsidP="00264FF1">
      <w:pPr>
        <w:ind w:left="720"/>
        <w:rPr>
          <w:rFonts w:cstheme="minorHAnsi"/>
          <w:b/>
        </w:rPr>
      </w:pPr>
      <w:r w:rsidRPr="00D27ECE">
        <w:rPr>
          <w:rFonts w:cstheme="minorHAnsi"/>
          <w:b/>
        </w:rPr>
        <w:t xml:space="preserve">Response: </w:t>
      </w:r>
      <w:r w:rsidR="00264FF1" w:rsidRPr="00D27ECE">
        <w:rPr>
          <w:rFonts w:cstheme="minorHAnsi"/>
        </w:rPr>
        <w:t xml:space="preserve">Change has been </w:t>
      </w:r>
      <w:r w:rsidR="0068760B" w:rsidRPr="00D27ECE">
        <w:rPr>
          <w:rFonts w:cstheme="minorHAnsi"/>
        </w:rPr>
        <w:t>made to reflect DPP-886</w:t>
      </w:r>
      <w:r w:rsidR="00264FF1" w:rsidRPr="00D27ECE">
        <w:rPr>
          <w:rFonts w:cstheme="minorHAnsi"/>
        </w:rPr>
        <w:t xml:space="preserve"> Private Child Care Client Inter-Agency Referral Form</w:t>
      </w:r>
    </w:p>
    <w:p w14:paraId="6C57AC9B" w14:textId="4F5688E9" w:rsidR="0030491A" w:rsidRPr="00D27ECE" w:rsidRDefault="0030491A" w:rsidP="0030491A">
      <w:pPr>
        <w:pStyle w:val="ListParagraph"/>
        <w:numPr>
          <w:ilvl w:val="0"/>
          <w:numId w:val="30"/>
        </w:numPr>
        <w:rPr>
          <w:rFonts w:cstheme="minorHAnsi"/>
        </w:rPr>
      </w:pPr>
      <w:r w:rsidRPr="00D27ECE">
        <w:rPr>
          <w:rFonts w:cstheme="minorHAnsi"/>
          <w:b/>
        </w:rPr>
        <w:t xml:space="preserve">Comment: </w:t>
      </w:r>
      <w:r w:rsidRPr="00D27ECE">
        <w:rPr>
          <w:rFonts w:cstheme="minorHAnsi"/>
        </w:rPr>
        <w:t>It looks like the footnote was removed about having a level prior to being placed in residential. I</w:t>
      </w:r>
      <w:r w:rsidR="000933F3" w:rsidRPr="00D27ECE">
        <w:rPr>
          <w:rFonts w:cstheme="minorHAnsi"/>
        </w:rPr>
        <w:t>11</w:t>
      </w:r>
      <w:r w:rsidRPr="00D27ECE">
        <w:rPr>
          <w:rFonts w:cstheme="minorHAnsi"/>
        </w:rPr>
        <w:t xml:space="preserve">s this a change in process, or is this covered in another SOP? </w:t>
      </w:r>
    </w:p>
    <w:p w14:paraId="22E725EB" w14:textId="545E907A" w:rsidR="0030491A" w:rsidRPr="00D27ECE" w:rsidRDefault="0030491A" w:rsidP="0030491A">
      <w:pPr>
        <w:pStyle w:val="ListParagraph"/>
        <w:rPr>
          <w:rFonts w:cstheme="minorHAnsi"/>
          <w:b/>
          <w:bCs/>
        </w:rPr>
      </w:pPr>
    </w:p>
    <w:p w14:paraId="22B08ABA" w14:textId="376CAF89" w:rsidR="006C19BA" w:rsidRPr="00D27ECE" w:rsidRDefault="00E32D46" w:rsidP="0030491A">
      <w:pPr>
        <w:pStyle w:val="ListParagraph"/>
        <w:rPr>
          <w:rFonts w:cstheme="minorHAnsi"/>
        </w:rPr>
      </w:pPr>
      <w:r w:rsidRPr="00D27ECE">
        <w:rPr>
          <w:rFonts w:cstheme="minorHAnsi"/>
          <w:b/>
        </w:rPr>
        <w:t xml:space="preserve">Response:  </w:t>
      </w:r>
      <w:r w:rsidR="008B7815" w:rsidRPr="00D27ECE">
        <w:rPr>
          <w:rFonts w:cstheme="minorHAnsi"/>
        </w:rPr>
        <w:t>Change has been made and footnote 2 is not removed</w:t>
      </w:r>
      <w:r w:rsidR="0068760B" w:rsidRPr="00D27ECE">
        <w:rPr>
          <w:rFonts w:cstheme="minorHAnsi"/>
        </w:rPr>
        <w:t xml:space="preserve">.  </w:t>
      </w:r>
    </w:p>
    <w:p w14:paraId="5C7B0208" w14:textId="7609DAC0" w:rsidR="0030491A" w:rsidRPr="00D27ECE" w:rsidRDefault="0030491A" w:rsidP="0030491A">
      <w:pPr>
        <w:pStyle w:val="ListParagraph"/>
        <w:rPr>
          <w:rFonts w:cstheme="minorHAnsi"/>
          <w:b/>
        </w:rPr>
      </w:pPr>
    </w:p>
    <w:p w14:paraId="7319DC87" w14:textId="422E0CB9" w:rsidR="0030491A" w:rsidRPr="00D27ECE" w:rsidRDefault="0030491A" w:rsidP="0030491A">
      <w:pPr>
        <w:pStyle w:val="ListParagraph"/>
        <w:rPr>
          <w:rFonts w:cstheme="minorHAnsi"/>
          <w:b/>
        </w:rPr>
      </w:pPr>
    </w:p>
    <w:p w14:paraId="7BAADB69" w14:textId="033032C3" w:rsidR="0030491A" w:rsidRPr="00D27ECE" w:rsidRDefault="00D92502" w:rsidP="0030491A">
      <w:pPr>
        <w:pStyle w:val="ListParagraph"/>
        <w:ind w:left="0"/>
        <w:rPr>
          <w:rFonts w:cstheme="minorHAnsi"/>
          <w:b/>
          <w:bCs/>
          <w:u w:val="single"/>
        </w:rPr>
      </w:pPr>
      <w:r w:rsidRPr="00D27ECE">
        <w:rPr>
          <w:rFonts w:cstheme="minorHAnsi"/>
          <w:b/>
          <w:bCs/>
          <w:u w:val="single"/>
        </w:rPr>
        <w:t>SOP 4.11.2 Request for Emergency LOC Assignment</w:t>
      </w:r>
    </w:p>
    <w:p w14:paraId="678991FD" w14:textId="77777777" w:rsidR="00D92502" w:rsidRPr="00D27ECE" w:rsidRDefault="00D92502" w:rsidP="0030491A">
      <w:pPr>
        <w:pStyle w:val="ListParagraph"/>
        <w:ind w:left="0"/>
        <w:rPr>
          <w:rFonts w:cstheme="minorHAnsi"/>
          <w:b/>
          <w:u w:val="single"/>
        </w:rPr>
      </w:pPr>
    </w:p>
    <w:p w14:paraId="1546D925" w14:textId="6321DCFD" w:rsidR="0030491A" w:rsidRPr="00D27ECE" w:rsidRDefault="0030491A" w:rsidP="0030491A">
      <w:pPr>
        <w:pStyle w:val="ListParagraph"/>
        <w:numPr>
          <w:ilvl w:val="0"/>
          <w:numId w:val="37"/>
        </w:numPr>
        <w:rPr>
          <w:rFonts w:cstheme="minorHAnsi"/>
          <w:b/>
        </w:rPr>
      </w:pPr>
      <w:r w:rsidRPr="00D27ECE">
        <w:rPr>
          <w:rFonts w:cstheme="minorHAnsi"/>
          <w:b/>
        </w:rPr>
        <w:t xml:space="preserve">Comment:  </w:t>
      </w:r>
      <w:r w:rsidRPr="00D27ECE">
        <w:rPr>
          <w:rFonts w:cstheme="minorHAnsi"/>
        </w:rPr>
        <w:t>#4 refers to “LOC packet” which includes the 886A and a Screener, but only the 886A is required for emergency level assignment.</w:t>
      </w:r>
    </w:p>
    <w:p w14:paraId="2527C4F5" w14:textId="01BBA5D4" w:rsidR="00D92502" w:rsidRPr="00D27ECE" w:rsidRDefault="00D92502" w:rsidP="00D92502">
      <w:pPr>
        <w:pStyle w:val="ListParagraph"/>
        <w:rPr>
          <w:rFonts w:cstheme="minorHAnsi"/>
          <w:b/>
        </w:rPr>
      </w:pPr>
    </w:p>
    <w:p w14:paraId="16D559AF" w14:textId="4CD298C8" w:rsidR="00D92502" w:rsidRPr="00D27ECE" w:rsidRDefault="00D92502" w:rsidP="00D92502">
      <w:pPr>
        <w:pStyle w:val="ListParagraph"/>
        <w:rPr>
          <w:rFonts w:cstheme="minorHAnsi"/>
          <w:b/>
        </w:rPr>
      </w:pPr>
      <w:r w:rsidRPr="00D27ECE">
        <w:rPr>
          <w:rFonts w:cstheme="minorHAnsi"/>
          <w:b/>
        </w:rPr>
        <w:t xml:space="preserve">Response:  </w:t>
      </w:r>
      <w:r w:rsidR="008B7815" w:rsidRPr="00D27ECE">
        <w:rPr>
          <w:rFonts w:cstheme="minorHAnsi"/>
        </w:rPr>
        <w:t>Change has been made to only include DPP-886A Application for Referral and Needs Assessment.</w:t>
      </w:r>
      <w:r w:rsidR="008B7815" w:rsidRPr="00D27ECE">
        <w:rPr>
          <w:rFonts w:cstheme="minorHAnsi"/>
          <w:b/>
        </w:rPr>
        <w:t xml:space="preserve"> </w:t>
      </w:r>
      <w:r w:rsidR="0068760B" w:rsidRPr="00D27ECE">
        <w:rPr>
          <w:rFonts w:cstheme="minorHAnsi"/>
          <w:b/>
        </w:rPr>
        <w:t xml:space="preserve"> </w:t>
      </w:r>
    </w:p>
    <w:p w14:paraId="669E6505" w14:textId="77777777" w:rsidR="00D92502" w:rsidRPr="00D27ECE" w:rsidRDefault="00D92502" w:rsidP="00D92502">
      <w:pPr>
        <w:pStyle w:val="ListParagraph"/>
        <w:rPr>
          <w:rFonts w:cstheme="minorHAnsi"/>
          <w:b/>
        </w:rPr>
      </w:pPr>
    </w:p>
    <w:p w14:paraId="795E2994" w14:textId="65966E52" w:rsidR="0030491A" w:rsidRPr="00D27ECE" w:rsidRDefault="0030491A" w:rsidP="0030491A">
      <w:pPr>
        <w:pStyle w:val="ListParagraph"/>
        <w:numPr>
          <w:ilvl w:val="0"/>
          <w:numId w:val="37"/>
        </w:numPr>
        <w:rPr>
          <w:rFonts w:cstheme="minorHAnsi"/>
        </w:rPr>
      </w:pPr>
      <w:r w:rsidRPr="00D27ECE">
        <w:rPr>
          <w:rFonts w:cstheme="minorHAnsi"/>
          <w:b/>
        </w:rPr>
        <w:t xml:space="preserve">Comment: </w:t>
      </w:r>
      <w:r w:rsidRPr="00D27ECE">
        <w:rPr>
          <w:rFonts w:cstheme="minorHAnsi"/>
        </w:rPr>
        <w:t xml:space="preserve">It might be helpful to note that afterhours protocols should be followed if the emergency occurs outside of normal business hours (after 5pm). </w:t>
      </w:r>
    </w:p>
    <w:p w14:paraId="57132325" w14:textId="39B0BFD9" w:rsidR="00D92502" w:rsidRPr="00D27ECE" w:rsidRDefault="00D92502" w:rsidP="00D92502">
      <w:pPr>
        <w:pStyle w:val="ListParagraph"/>
        <w:rPr>
          <w:rFonts w:cstheme="minorHAnsi"/>
          <w:b/>
        </w:rPr>
      </w:pPr>
    </w:p>
    <w:p w14:paraId="4CBCBB01" w14:textId="30DC94EA" w:rsidR="00D92502" w:rsidRPr="00D27ECE" w:rsidRDefault="00D92502" w:rsidP="00D92502">
      <w:pPr>
        <w:pStyle w:val="ListParagraph"/>
        <w:rPr>
          <w:rFonts w:cstheme="minorHAnsi"/>
        </w:rPr>
      </w:pPr>
      <w:r w:rsidRPr="00D27ECE">
        <w:rPr>
          <w:rFonts w:cstheme="minorHAnsi"/>
          <w:b/>
        </w:rPr>
        <w:t xml:space="preserve">Response:  </w:t>
      </w:r>
      <w:r w:rsidR="0068760B" w:rsidRPr="00D27ECE">
        <w:rPr>
          <w:rFonts w:cstheme="minorHAnsi"/>
        </w:rPr>
        <w:t>No change will be made</w:t>
      </w:r>
      <w:r w:rsidR="0068760B" w:rsidRPr="00D27ECE">
        <w:rPr>
          <w:rFonts w:cstheme="minorHAnsi"/>
          <w:b/>
        </w:rPr>
        <w:t>.</w:t>
      </w:r>
    </w:p>
    <w:p w14:paraId="15767D77" w14:textId="3328EBDD" w:rsidR="0030491A" w:rsidRPr="00D27ECE" w:rsidRDefault="0030491A" w:rsidP="0030491A">
      <w:pPr>
        <w:pStyle w:val="ListParagraph"/>
        <w:rPr>
          <w:rFonts w:cstheme="minorHAnsi"/>
          <w:b/>
          <w:bCs/>
        </w:rPr>
      </w:pPr>
    </w:p>
    <w:p w14:paraId="43ED41FF" w14:textId="00099CC5" w:rsidR="0030491A" w:rsidRPr="00D27ECE" w:rsidRDefault="0030491A" w:rsidP="0030491A">
      <w:pPr>
        <w:pStyle w:val="ListParagraph"/>
        <w:rPr>
          <w:rFonts w:cstheme="minorHAnsi"/>
          <w:b/>
          <w:bCs/>
        </w:rPr>
      </w:pPr>
    </w:p>
    <w:p w14:paraId="2BFF3853" w14:textId="143FC892" w:rsidR="00D92502" w:rsidRPr="00D27ECE" w:rsidRDefault="00D92502" w:rsidP="00D92502">
      <w:pPr>
        <w:pStyle w:val="ListParagraph"/>
        <w:ind w:left="0"/>
        <w:rPr>
          <w:rFonts w:cstheme="minorHAnsi"/>
          <w:b/>
          <w:bCs/>
          <w:u w:val="single"/>
        </w:rPr>
      </w:pPr>
      <w:r w:rsidRPr="00D27ECE">
        <w:rPr>
          <w:rFonts w:cstheme="minorHAnsi"/>
          <w:b/>
          <w:bCs/>
          <w:u w:val="single"/>
        </w:rPr>
        <w:t>SOP 4.11.4 Change in LOC Assignment</w:t>
      </w:r>
    </w:p>
    <w:p w14:paraId="7D9B90A2" w14:textId="77777777" w:rsidR="00D92502" w:rsidRPr="00D27ECE" w:rsidRDefault="00D92502" w:rsidP="00D92502">
      <w:pPr>
        <w:pStyle w:val="ListParagraph"/>
        <w:ind w:left="0"/>
        <w:rPr>
          <w:rFonts w:cstheme="minorHAnsi"/>
          <w:b/>
          <w:bCs/>
          <w:u w:val="single"/>
        </w:rPr>
      </w:pPr>
    </w:p>
    <w:p w14:paraId="67D28DC1" w14:textId="5A8D2309" w:rsidR="0030491A" w:rsidRPr="00D27ECE" w:rsidRDefault="0030491A" w:rsidP="00D92502">
      <w:pPr>
        <w:pStyle w:val="ListParagraph"/>
        <w:numPr>
          <w:ilvl w:val="0"/>
          <w:numId w:val="42"/>
        </w:numPr>
        <w:rPr>
          <w:rFonts w:cstheme="minorHAnsi"/>
          <w:bCs/>
        </w:rPr>
      </w:pPr>
      <w:r w:rsidRPr="00D27ECE">
        <w:rPr>
          <w:rFonts w:cstheme="minorHAnsi"/>
          <w:b/>
          <w:bCs/>
        </w:rPr>
        <w:t xml:space="preserve">Comment:  </w:t>
      </w:r>
      <w:r w:rsidRPr="00D27ECE">
        <w:rPr>
          <w:rFonts w:cstheme="minorHAnsi"/>
          <w:bCs/>
        </w:rPr>
        <w:t>It may be helpful to refer to the QRTP assessment process in #1, if residential placement is being considered.</w:t>
      </w:r>
    </w:p>
    <w:p w14:paraId="17E7EC57" w14:textId="4DB637F5" w:rsidR="0030491A" w:rsidRDefault="00D92502" w:rsidP="00D27ECE">
      <w:pPr>
        <w:ind w:left="720"/>
        <w:rPr>
          <w:rFonts w:cstheme="minorHAnsi"/>
          <w:b/>
          <w:bCs/>
        </w:rPr>
      </w:pPr>
      <w:r w:rsidRPr="00D27ECE">
        <w:rPr>
          <w:rFonts w:cstheme="minorHAnsi"/>
          <w:b/>
          <w:bCs/>
        </w:rPr>
        <w:t xml:space="preserve">Response: </w:t>
      </w:r>
      <w:r w:rsidR="0068760B" w:rsidRPr="00D27ECE">
        <w:rPr>
          <w:rFonts w:cstheme="minorHAnsi"/>
          <w:bCs/>
        </w:rPr>
        <w:t>No change will be made.</w:t>
      </w:r>
      <w:r w:rsidR="0068760B" w:rsidRPr="00D27ECE">
        <w:rPr>
          <w:rFonts w:cstheme="minorHAnsi"/>
          <w:b/>
          <w:bCs/>
        </w:rPr>
        <w:t xml:space="preserve">  </w:t>
      </w:r>
    </w:p>
    <w:p w14:paraId="628D967B" w14:textId="77777777" w:rsidR="00D27ECE" w:rsidRPr="00D27ECE" w:rsidRDefault="00D27ECE" w:rsidP="00D27ECE">
      <w:pPr>
        <w:ind w:left="720"/>
        <w:rPr>
          <w:rFonts w:cstheme="minorHAnsi"/>
          <w:b/>
          <w:bCs/>
        </w:rPr>
      </w:pPr>
    </w:p>
    <w:p w14:paraId="5C131B07" w14:textId="4FD149B1" w:rsidR="0030491A" w:rsidRPr="00D27ECE" w:rsidRDefault="00D92502" w:rsidP="00D92502">
      <w:pPr>
        <w:rPr>
          <w:rFonts w:eastAsia="Calibri" w:cstheme="minorHAnsi"/>
          <w:b/>
          <w:bCs/>
          <w:u w:val="single"/>
        </w:rPr>
      </w:pPr>
      <w:r w:rsidRPr="00D27ECE">
        <w:rPr>
          <w:rFonts w:eastAsia="Calibri" w:cstheme="minorHAnsi"/>
          <w:b/>
          <w:bCs/>
        </w:rPr>
        <w:t>SO</w:t>
      </w:r>
      <w:r w:rsidRPr="00D27ECE">
        <w:rPr>
          <w:rFonts w:eastAsia="Calibri" w:cstheme="minorHAnsi"/>
          <w:b/>
          <w:bCs/>
          <w:u w:val="single"/>
        </w:rPr>
        <w:t xml:space="preserve">P 4.47 Movement from One PCC Placement to Another </w:t>
      </w:r>
    </w:p>
    <w:p w14:paraId="3386BD39" w14:textId="290A7126" w:rsidR="0030491A" w:rsidRPr="00D27ECE" w:rsidRDefault="0030491A" w:rsidP="0030491A">
      <w:pPr>
        <w:pStyle w:val="ListParagraph"/>
        <w:numPr>
          <w:ilvl w:val="0"/>
          <w:numId w:val="41"/>
        </w:numPr>
        <w:rPr>
          <w:rFonts w:cstheme="minorHAnsi"/>
          <w:b/>
          <w:bCs/>
          <w:u w:val="single"/>
        </w:rPr>
      </w:pPr>
      <w:r w:rsidRPr="00D27ECE">
        <w:rPr>
          <w:rFonts w:cstheme="minorHAnsi"/>
          <w:b/>
          <w:bCs/>
        </w:rPr>
        <w:t xml:space="preserve">Comment: </w:t>
      </w:r>
      <w:r w:rsidRPr="00D27ECE">
        <w:rPr>
          <w:rFonts w:cstheme="minorHAnsi"/>
          <w:bCs/>
        </w:rPr>
        <w:t>It may be helpful to refer to the QRTP assessment process in the Procedure section, if residential placement is being considered</w:t>
      </w:r>
      <w:r w:rsidRPr="00D27ECE">
        <w:rPr>
          <w:rFonts w:cstheme="minorHAnsi"/>
          <w:b/>
          <w:bCs/>
          <w:u w:val="single"/>
        </w:rPr>
        <w:t>.</w:t>
      </w:r>
    </w:p>
    <w:p w14:paraId="34E31B2C" w14:textId="5DEA66FE" w:rsidR="0030491A" w:rsidRPr="00D27ECE" w:rsidRDefault="0030491A" w:rsidP="00D92502">
      <w:pPr>
        <w:pStyle w:val="ListParagraph"/>
        <w:rPr>
          <w:rFonts w:cstheme="minorHAnsi"/>
          <w:b/>
          <w:bCs/>
          <w:u w:val="single"/>
        </w:rPr>
      </w:pPr>
    </w:p>
    <w:p w14:paraId="047E0860" w14:textId="0D29DFE6" w:rsidR="00D92502" w:rsidRPr="00D27ECE" w:rsidRDefault="00D92502" w:rsidP="00D92502">
      <w:pPr>
        <w:pStyle w:val="ListParagraph"/>
        <w:rPr>
          <w:rFonts w:cstheme="minorHAnsi"/>
          <w:b/>
          <w:bCs/>
        </w:rPr>
      </w:pPr>
      <w:r w:rsidRPr="00D27ECE">
        <w:rPr>
          <w:rFonts w:cstheme="minorHAnsi"/>
          <w:b/>
          <w:bCs/>
        </w:rPr>
        <w:t xml:space="preserve">Response: </w:t>
      </w:r>
      <w:r w:rsidR="0068760B" w:rsidRPr="00D27ECE">
        <w:rPr>
          <w:rFonts w:cstheme="minorHAnsi"/>
        </w:rPr>
        <w:t xml:space="preserve">A reference will be made to the upcoming QRTP process.  </w:t>
      </w:r>
    </w:p>
    <w:p w14:paraId="2E351FE8" w14:textId="32F709E5" w:rsidR="00E32D46" w:rsidRPr="00D27ECE" w:rsidRDefault="00E32D46" w:rsidP="00E32D46">
      <w:pPr>
        <w:pStyle w:val="ListParagraph"/>
        <w:rPr>
          <w:rFonts w:cstheme="minorHAnsi"/>
          <w:b/>
        </w:rPr>
      </w:pPr>
    </w:p>
    <w:sectPr w:rsidR="00E32D46" w:rsidRPr="00D27ECE" w:rsidSect="00D27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13047"/>
    <w:multiLevelType w:val="multilevel"/>
    <w:tmpl w:val="C310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5C0"/>
    <w:multiLevelType w:val="hybridMultilevel"/>
    <w:tmpl w:val="9CE8D962"/>
    <w:lvl w:ilvl="0" w:tplc="3FFE68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33AA"/>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C74C3"/>
    <w:multiLevelType w:val="multilevel"/>
    <w:tmpl w:val="80CEC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07646"/>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0747"/>
    <w:multiLevelType w:val="hybridMultilevel"/>
    <w:tmpl w:val="B090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A83AE6"/>
    <w:multiLevelType w:val="hybridMultilevel"/>
    <w:tmpl w:val="8D4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BD6A94"/>
    <w:multiLevelType w:val="hybridMultilevel"/>
    <w:tmpl w:val="F63CE1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E18F3"/>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40FA2"/>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B6B74"/>
    <w:multiLevelType w:val="hybridMultilevel"/>
    <w:tmpl w:val="03D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205C7"/>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46861"/>
    <w:multiLevelType w:val="hybridMultilevel"/>
    <w:tmpl w:val="98F0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E5300"/>
    <w:multiLevelType w:val="hybridMultilevel"/>
    <w:tmpl w:val="5716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B7188E"/>
    <w:multiLevelType w:val="hybridMultilevel"/>
    <w:tmpl w:val="F23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40288"/>
    <w:multiLevelType w:val="hybridMultilevel"/>
    <w:tmpl w:val="0F2C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36"/>
  </w:num>
  <w:num w:numId="5">
    <w:abstractNumId w:val="36"/>
  </w:num>
  <w:num w:numId="6">
    <w:abstractNumId w:val="14"/>
  </w:num>
  <w:num w:numId="7">
    <w:abstractNumId w:val="16"/>
  </w:num>
  <w:num w:numId="8">
    <w:abstractNumId w:val="24"/>
  </w:num>
  <w:num w:numId="9">
    <w:abstractNumId w:val="13"/>
  </w:num>
  <w:num w:numId="10">
    <w:abstractNumId w:val="0"/>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9"/>
  </w:num>
  <w:num w:numId="19">
    <w:abstractNumId w:val="38"/>
  </w:num>
  <w:num w:numId="20">
    <w:abstractNumId w:val="28"/>
  </w:num>
  <w:num w:numId="21">
    <w:abstractNumId w:val="28"/>
  </w:num>
  <w:num w:numId="22">
    <w:abstractNumId w:val="10"/>
  </w:num>
  <w:num w:numId="23">
    <w:abstractNumId w:val="30"/>
  </w:num>
  <w:num w:numId="24">
    <w:abstractNumId w:val="5"/>
  </w:num>
  <w:num w:numId="25">
    <w:abstractNumId w:val="6"/>
  </w:num>
  <w:num w:numId="26">
    <w:abstractNumId w:val="29"/>
  </w:num>
  <w:num w:numId="27">
    <w:abstractNumId w:val="3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21"/>
  </w:num>
  <w:num w:numId="32">
    <w:abstractNumId w:val="21"/>
  </w:num>
  <w:num w:numId="33">
    <w:abstractNumId w:val="22"/>
  </w:num>
  <w:num w:numId="34">
    <w:abstractNumId w:val="18"/>
  </w:num>
  <w:num w:numId="35">
    <w:abstractNumId w:val="34"/>
  </w:num>
  <w:num w:numId="36">
    <w:abstractNumId w:val="27"/>
  </w:num>
  <w:num w:numId="37">
    <w:abstractNumId w:val="37"/>
  </w:num>
  <w:num w:numId="38">
    <w:abstractNumId w:val="39"/>
  </w:num>
  <w:num w:numId="39">
    <w:abstractNumId w:val="20"/>
  </w:num>
  <w:num w:numId="40">
    <w:abstractNumId w:val="20"/>
  </w:num>
  <w:num w:numId="41">
    <w:abstractNumId w:val="25"/>
  </w:num>
  <w:num w:numId="42">
    <w:abstractNumId w:val="31"/>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NKsFAOXrx4gtAAAA"/>
  </w:docVars>
  <w:rsids>
    <w:rsidRoot w:val="004A49AB"/>
    <w:rsid w:val="00005640"/>
    <w:rsid w:val="00053CFF"/>
    <w:rsid w:val="000623AD"/>
    <w:rsid w:val="000933F3"/>
    <w:rsid w:val="000F69DE"/>
    <w:rsid w:val="001517FE"/>
    <w:rsid w:val="00192F41"/>
    <w:rsid w:val="001B4F96"/>
    <w:rsid w:val="001C3183"/>
    <w:rsid w:val="001D2536"/>
    <w:rsid w:val="001F3CDF"/>
    <w:rsid w:val="001F41C5"/>
    <w:rsid w:val="001F5873"/>
    <w:rsid w:val="00251039"/>
    <w:rsid w:val="00264FF1"/>
    <w:rsid w:val="002869E9"/>
    <w:rsid w:val="002F63DC"/>
    <w:rsid w:val="0030491A"/>
    <w:rsid w:val="003437BB"/>
    <w:rsid w:val="003455A2"/>
    <w:rsid w:val="00362E1A"/>
    <w:rsid w:val="00371EBD"/>
    <w:rsid w:val="003A615A"/>
    <w:rsid w:val="003D39A4"/>
    <w:rsid w:val="004007D1"/>
    <w:rsid w:val="00420EDC"/>
    <w:rsid w:val="0042301F"/>
    <w:rsid w:val="0045550B"/>
    <w:rsid w:val="004A49AB"/>
    <w:rsid w:val="004D4B7E"/>
    <w:rsid w:val="004E10F3"/>
    <w:rsid w:val="00550A03"/>
    <w:rsid w:val="0057517A"/>
    <w:rsid w:val="0059218F"/>
    <w:rsid w:val="005974C4"/>
    <w:rsid w:val="005A4E87"/>
    <w:rsid w:val="005B7E1E"/>
    <w:rsid w:val="005F21CC"/>
    <w:rsid w:val="006242CB"/>
    <w:rsid w:val="00653494"/>
    <w:rsid w:val="0068760B"/>
    <w:rsid w:val="006C19BA"/>
    <w:rsid w:val="00702A22"/>
    <w:rsid w:val="007442FC"/>
    <w:rsid w:val="00765911"/>
    <w:rsid w:val="00780DD9"/>
    <w:rsid w:val="00794125"/>
    <w:rsid w:val="007B5F03"/>
    <w:rsid w:val="00805A91"/>
    <w:rsid w:val="008B7815"/>
    <w:rsid w:val="009B4314"/>
    <w:rsid w:val="00A06021"/>
    <w:rsid w:val="00A07BBC"/>
    <w:rsid w:val="00A174A4"/>
    <w:rsid w:val="00A355A2"/>
    <w:rsid w:val="00A56E8E"/>
    <w:rsid w:val="00A8339D"/>
    <w:rsid w:val="00A95674"/>
    <w:rsid w:val="00B07426"/>
    <w:rsid w:val="00B32FC5"/>
    <w:rsid w:val="00B33500"/>
    <w:rsid w:val="00B5321A"/>
    <w:rsid w:val="00B765F4"/>
    <w:rsid w:val="00B9565D"/>
    <w:rsid w:val="00BA5B67"/>
    <w:rsid w:val="00BC536E"/>
    <w:rsid w:val="00C20D48"/>
    <w:rsid w:val="00C33AA7"/>
    <w:rsid w:val="00C44A31"/>
    <w:rsid w:val="00C576D2"/>
    <w:rsid w:val="00C65DE0"/>
    <w:rsid w:val="00CF5A14"/>
    <w:rsid w:val="00D27ECE"/>
    <w:rsid w:val="00D51B9C"/>
    <w:rsid w:val="00D72313"/>
    <w:rsid w:val="00D74164"/>
    <w:rsid w:val="00D92502"/>
    <w:rsid w:val="00DA6A37"/>
    <w:rsid w:val="00DB7BFF"/>
    <w:rsid w:val="00DE505F"/>
    <w:rsid w:val="00DF597F"/>
    <w:rsid w:val="00DF5C47"/>
    <w:rsid w:val="00E07F79"/>
    <w:rsid w:val="00E32D46"/>
    <w:rsid w:val="00EC092B"/>
    <w:rsid w:val="00F33A03"/>
    <w:rsid w:val="00F579E2"/>
    <w:rsid w:val="00F70A10"/>
    <w:rsid w:val="00FA3F04"/>
    <w:rsid w:val="00FA43AC"/>
    <w:rsid w:val="00FC69FB"/>
    <w:rsid w:val="00FD2CE0"/>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255">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55657555">
      <w:bodyDiv w:val="1"/>
      <w:marLeft w:val="0"/>
      <w:marRight w:val="0"/>
      <w:marTop w:val="0"/>
      <w:marBottom w:val="0"/>
      <w:divBdr>
        <w:top w:val="none" w:sz="0" w:space="0" w:color="auto"/>
        <w:left w:val="none" w:sz="0" w:space="0" w:color="auto"/>
        <w:bottom w:val="none" w:sz="0" w:space="0" w:color="auto"/>
        <w:right w:val="none" w:sz="0" w:space="0" w:color="auto"/>
      </w:divBdr>
    </w:div>
    <w:div w:id="184903250">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4193898">
      <w:bodyDiv w:val="1"/>
      <w:marLeft w:val="0"/>
      <w:marRight w:val="0"/>
      <w:marTop w:val="0"/>
      <w:marBottom w:val="0"/>
      <w:divBdr>
        <w:top w:val="none" w:sz="0" w:space="0" w:color="auto"/>
        <w:left w:val="none" w:sz="0" w:space="0" w:color="auto"/>
        <w:bottom w:val="none" w:sz="0" w:space="0" w:color="auto"/>
        <w:right w:val="none" w:sz="0" w:space="0" w:color="auto"/>
      </w:divBdr>
    </w:div>
    <w:div w:id="333071880">
      <w:bodyDiv w:val="1"/>
      <w:marLeft w:val="0"/>
      <w:marRight w:val="0"/>
      <w:marTop w:val="0"/>
      <w:marBottom w:val="0"/>
      <w:divBdr>
        <w:top w:val="none" w:sz="0" w:space="0" w:color="auto"/>
        <w:left w:val="none" w:sz="0" w:space="0" w:color="auto"/>
        <w:bottom w:val="none" w:sz="0" w:space="0" w:color="auto"/>
        <w:right w:val="none" w:sz="0" w:space="0" w:color="auto"/>
      </w:divBdr>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66250882">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73750607">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086001355">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47481144">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38138075">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46618579">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73195343">
      <w:bodyDiv w:val="1"/>
      <w:marLeft w:val="0"/>
      <w:marRight w:val="0"/>
      <w:marTop w:val="0"/>
      <w:marBottom w:val="0"/>
      <w:divBdr>
        <w:top w:val="none" w:sz="0" w:space="0" w:color="auto"/>
        <w:left w:val="none" w:sz="0" w:space="0" w:color="auto"/>
        <w:bottom w:val="none" w:sz="0" w:space="0" w:color="auto"/>
        <w:right w:val="none" w:sz="0" w:space="0" w:color="auto"/>
      </w:divBdr>
    </w:div>
    <w:div w:id="2098017138">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3.xml><?xml version="1.0" encoding="utf-8"?>
<ds:datastoreItem xmlns:ds="http://schemas.openxmlformats.org/officeDocument/2006/customXml" ds:itemID="{104D2932-B6A0-4AB8-9C9B-566D8D4B222D}"/>
</file>

<file path=customXml/itemProps4.xml><?xml version="1.0" encoding="utf-8"?>
<ds:datastoreItem xmlns:ds="http://schemas.openxmlformats.org/officeDocument/2006/customXml" ds:itemID="{BA99265E-6982-46EB-B73D-01CE6C54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21-15 Statement of Consideration for SOP 4.10, 4.11.1 4.11.2 4.11.4  and 4.47</dc:title>
  <dc:subject/>
  <dc:creator>Cubert, Julie M (CHFS DCBS DPP)</dc:creator>
  <cp:keywords/>
  <dc:description/>
  <cp:lastModifiedBy>Cubert, Julie M (CHFS DCBS DPP)</cp:lastModifiedBy>
  <cp:revision>3</cp:revision>
  <cp:lastPrinted>2019-07-17T17:01:00Z</cp:lastPrinted>
  <dcterms:created xsi:type="dcterms:W3CDTF">2021-03-11T20:30:00Z</dcterms:created>
  <dcterms:modified xsi:type="dcterms:W3CDTF">2021-04-20T10:57:00Z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